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f03a653434d0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17771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INDUSTRIJSKO-OBRTNIČKA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2.922.744,84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3.109.055,26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2.931.390,57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3.111.816,12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8.645,73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2.760,86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20.640,37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10.068,39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19.665,37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10.048,39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28.311,10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12.809,25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45,2</w:t>
            </w:r>
          </w:p>
        </w:tc>
      </w:tr>
    </w:tbl>
    <w:p>
      <w:pPr>
        <w:spacing w:before="0" w:after="0"/>
      </w:pPr>
    </w:p>
    <w:p>
      <w:r>
        <w:t xml:space="preserve">Ukupni rashodi poslovanja iznose 3.109.055,26 EUR, dok rashodi su 3.111.816,12 EUR. Ostvaren je manajk prihoda u iznosu od 12.809,25 EUR, odnosno raspoloživi višak iznosi 102.190,31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2.922.744,84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3.109.055,26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Prihodi poslovanja iznose 3.109.055,26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2.621.443,86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2.768.964,87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Pomoći su namijenjene za provedbu projektnih aktivnosti i rashoda namijenjenim za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118.443,90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125.309,73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Prihodi su nastale na temelju vlastitih prihoda, odnosno pruženih usluga na tržištu. Škola pruža usluge u vidu školske radionice i obrazovanja odraslih, kao i najma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173.337,08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201.900,66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Prihodi iz proračuna pokrivaraju troškove prijevoza zaposlenika i plaća pomoćnika u nastavi, kao i drugih rashoda potrebnih za neometano djelovanje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2.931.390,57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3.111.816,12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</w:tbl>
    <w:p>
      <w:pPr>
        <w:spacing w:before="0" w:after="0"/>
      </w:pPr>
    </w:p>
    <w:p>
      <w:r>
        <w:t xml:space="preserve">Rashodi poslovanja iznose 3.111.816,12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37.477,42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50.827,15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r>
        <w:t xml:space="preserve">Troškovi službenih putovanja nastali su radi provedbe projektnih aktivnosti i uvođenja 2 nova smjera.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67.847,42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78.702,90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Energetski rashodi nastali su radi povećanja tržišnih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115.692,20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151.758,55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r>
        <w:t xml:space="preserve">Zbog kontinuiranog rasta cijena na tržištu u 2025. godini dolazi do velikog povećanja rashoda za usluge. Cijene dobavljača učestalo se mijenjaju, a troškovi koji su neophodni za rad škole rastu.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78.802,40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108.173,91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137,3</w:t>
            </w:r>
          </w:p>
        </w:tc>
      </w:tr>
    </w:tbl>
    <w:p>
      <w:pPr>
        <w:spacing w:before="0" w:after="0"/>
      </w:pPr>
    </w:p>
    <w:p>
      <w:r>
        <w:t xml:space="preserve">Intelekturalne i osobne usluge nastale su radi povećanja usluge obrazovanja odraslih, kao i projektnih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22.251,51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249.378,91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1120,7</w:t>
            </w:r>
          </w:p>
        </w:tc>
      </w:tr>
    </w:tbl>
    <w:p>
      <w:pPr>
        <w:spacing w:before="0" w:after="0"/>
      </w:pPr>
    </w:p>
    <w:p>
      <w:r>
        <w:t xml:space="preserve">Obračunati prihodi poslovanja odnose se na zaduženja za prosinac, npr. rashodi za djelatnike, čija se potraživanja zatvaraju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22.251,51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24.355,68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Nenaplaćeni prihodi od usluga odnose na nepodmirene račune kupaca, radi rokova.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2,1</w:t>
            </w:r>
          </w:p>
        </w:tc>
      </w:tr>
    </w:tbl>
    <w:p>
      <w:pPr>
        <w:spacing w:before="0" w:after="0"/>
      </w:pPr>
    </w:p>
    <w:p>
      <w:r>
        <w:t xml:space="preserve">Prihodi od prodaje nefinancijske imovine odnose na uredske stolice.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20.640,37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10.068,39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48,8</w:t>
            </w:r>
          </w:p>
        </w:tc>
      </w:tr>
    </w:tbl>
    <w:p>
      <w:pPr>
        <w:spacing w:before="0" w:after="0"/>
      </w:pPr>
    </w:p>
    <w:p>
      <w:r>
        <w:t xml:space="preserve">Rashodi za imovinu nastali su radi kupnje opreme i instrumenata, koji su neophodni za rad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133.596,45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102.190,31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76,5</w:t>
            </w:r>
          </w:p>
        </w:tc>
      </w:tr>
    </w:tbl>
    <w:p>
      <w:pPr>
        <w:spacing w:before="0" w:after="0"/>
      </w:pPr>
    </w:p>
    <w:p>
      <w:r>
        <w:t xml:space="preserve">Višak prenesenih prihoda raspoloživ u tekućoj godini iznosi 102.190,31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5.711,92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241,0</w:t>
            </w:r>
          </w:p>
        </w:tc>
      </w:tr>
    </w:tbl>
    <w:p>
      <w:pPr>
        <w:spacing w:before="0" w:after="0"/>
      </w:pPr>
    </w:p>
    <w:p>
      <w:r>
        <w:t xml:space="preserve">Zbog zakonske obaveze za sistematske preglede, koji se obavlja svake 2 godine, ove godine bio je povećan broj zaposlenika koji su obavili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 zaposlenih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5055,2</w:t>
            </w:r>
          </w:p>
        </w:tc>
      </w:tr>
    </w:tbl>
    <w:p>
      <w:pPr>
        <w:spacing w:before="0" w:after="0"/>
      </w:pPr>
    </w:p>
    <w:p>
      <w:r>
        <w:t xml:space="preserve">Osiguranje zaposlenih povećalo se radi većeg broja projektnih aktivnosti u inozemstvu.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1.840.266,74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1.925.562,61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r>
        <w:t xml:space="preserve">Imovina prema bilanci iznosi 1.925.562,61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1.840.266,74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1.925.562,61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r>
        <w:t xml:space="preserve">Obaveze i vlastiti izvori u 2025. godini iznose 1.925.562,61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2.952.030,94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3.121.884,51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Škola pripada višem srednjoškolskom obrazovanju i u tekućoj godini ostvareno je 3.121.884,51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235.838,86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Obaveze s 1. siječnjom iznose 235.838,86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obaveza na kraju.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tekućoj godini ostvareno je 115.984,40 EUR prihoda od strane ERASMUS projekata. Trenutno se provode 2 projekta, a u 2025. godini bila su 3 aktualna.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85b2d451c7422c" /></Relationships>
</file>